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A" w:rsidRDefault="00F02798">
      <w:pPr>
        <w:spacing w:line="303" w:lineRule="auto"/>
        <w:ind w:left="146" w:right="160"/>
        <w:jc w:val="center"/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  <w:u w:val="single"/>
        </w:rPr>
        <w:t xml:space="preserve">R e g u l a m i n </w:t>
      </w:r>
    </w:p>
    <w:p w:rsidR="00040D1A" w:rsidRDefault="00F02798">
      <w:pPr>
        <w:spacing w:line="303" w:lineRule="auto"/>
        <w:ind w:left="146" w:right="160"/>
        <w:jc w:val="center"/>
      </w:pPr>
      <w:r>
        <w:rPr>
          <w:rFonts w:ascii="Arial" w:hAnsi="Arial"/>
          <w:b/>
          <w:bCs/>
          <w:sz w:val="26"/>
          <w:szCs w:val="26"/>
        </w:rPr>
        <w:t>systemu motywacyjnego pracownik</w:t>
      </w:r>
      <w:r>
        <w:rPr>
          <w:rFonts w:ascii="Arial" w:hAnsi="Arial"/>
          <w:b/>
          <w:bCs/>
          <w:sz w:val="26"/>
          <w:szCs w:val="26"/>
          <w:lang w:val="es-ES_tradnl"/>
        </w:rPr>
        <w:t>ó</w:t>
      </w:r>
      <w:r>
        <w:rPr>
          <w:rFonts w:ascii="Arial" w:hAnsi="Arial"/>
          <w:b/>
          <w:bCs/>
          <w:sz w:val="26"/>
          <w:szCs w:val="26"/>
        </w:rPr>
        <w:t>w Uniwersytetu Pedagogicznego w  Krakowie</w:t>
      </w:r>
    </w:p>
    <w:p w:rsidR="00040D1A" w:rsidRDefault="00040D1A">
      <w:pPr>
        <w:spacing w:line="303" w:lineRule="auto"/>
        <w:ind w:left="146" w:right="160"/>
        <w:jc w:val="center"/>
      </w:pPr>
    </w:p>
    <w:p w:rsidR="00040D1A" w:rsidRDefault="00040D1A">
      <w:pPr>
        <w:spacing w:line="303" w:lineRule="auto"/>
        <w:ind w:left="146" w:right="160"/>
        <w:jc w:val="center"/>
      </w:pPr>
    </w:p>
    <w:p w:rsidR="00040D1A" w:rsidRDefault="00040D1A">
      <w:pPr>
        <w:spacing w:line="288" w:lineRule="auto"/>
      </w:pPr>
    </w:p>
    <w:p w:rsidR="00040D1A" w:rsidRDefault="00040D1A">
      <w:pPr>
        <w:spacing w:line="288" w:lineRule="auto"/>
      </w:pPr>
    </w:p>
    <w:p w:rsidR="00040D1A" w:rsidRDefault="00040D1A">
      <w:pPr>
        <w:spacing w:line="288" w:lineRule="auto"/>
      </w:pPr>
    </w:p>
    <w:p w:rsidR="00040D1A" w:rsidRDefault="00F02798">
      <w:pPr>
        <w:spacing w:line="288" w:lineRule="auto"/>
        <w:jc w:val="center"/>
      </w:pPr>
      <w:r>
        <w:rPr>
          <w:rFonts w:ascii="Arial" w:hAnsi="Arial"/>
          <w:b/>
          <w:bCs/>
          <w:sz w:val="24"/>
          <w:szCs w:val="24"/>
        </w:rPr>
        <w:t>§1 Regulacje og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lne</w:t>
      </w:r>
    </w:p>
    <w:p w:rsidR="00040D1A" w:rsidRDefault="00040D1A">
      <w:pPr>
        <w:spacing w:line="288" w:lineRule="auto"/>
      </w:pP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System motywacyjny obejmuje wyłącznie pracowników  Uniwersytetu Pedagogicznego, którzy są zaliczani do liczby N w parametryzacji i dla których Uniwersytet Pedagogiczny jest podstawowym miejscem pracy. </w:t>
      </w:r>
    </w:p>
    <w:p w:rsidR="00040D1A" w:rsidRDefault="00F02798">
      <w:pPr>
        <w:numPr>
          <w:ilvl w:val="0"/>
          <w:numId w:val="3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Pracownicy przebywający na urlopach długoterminowych, naukowych, dla poratowania zdrowia, macierzyńskich lub wychowawczych itp. mogą zdecydować o  zawieszeniu udziału w systemie motywacyjnym, po pisemnym wyrażeniu woli złożonym na ręce Prorektora, w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rego kompetencjach znajduje się nadz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 nad działalnością naukową w Uczelni. Okres zawieszenia nie może przekroczyć 1 roku od zakończenia urlopu.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sytuacji opisanej w §1 pkt 2 o zawieszeniu udziału w systemie motywacyjnym decyduje pracownik przed rozpoczęciem urlopu.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systemu mogą zostać wyłączeni pracownicy pełniący w Uczelni funkcje rektorskie i  d</w:t>
      </w:r>
      <w:r>
        <w:rPr>
          <w:rFonts w:ascii="Arial" w:hAnsi="Arial"/>
          <w:sz w:val="24"/>
          <w:szCs w:val="24"/>
          <w:lang w:val="nl-NL"/>
        </w:rPr>
        <w:t>zieka</w:t>
      </w:r>
      <w:r>
        <w:rPr>
          <w:rFonts w:ascii="Arial" w:hAnsi="Arial"/>
          <w:sz w:val="24"/>
          <w:szCs w:val="24"/>
        </w:rPr>
        <w:t>ńskie, po pisemnym wyrażeniu woli złożonym na ręce Rektora, a w przypadku JM Rektora na ręce Prorektora, w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rego kompetencjach znajduje się nadz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 nad działalnością naukową w Uczelni.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Dziekani i Kierownicy Jednostek Uczelni są zobowiązani do natychmiastowego zgłaszania Rektorowi wszelkich przejaw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naruszenia przez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zasad działania Systemu (ghostwriting, guest authorship itp.) celem zbadania sprawy przez właściwy organ Uczelni.</w:t>
      </w: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F02798">
      <w:pPr>
        <w:spacing w:line="288" w:lineRule="auto"/>
        <w:jc w:val="center"/>
      </w:pPr>
      <w:r>
        <w:rPr>
          <w:rFonts w:ascii="Arial" w:hAnsi="Arial"/>
          <w:b/>
          <w:bCs/>
          <w:sz w:val="24"/>
          <w:szCs w:val="24"/>
        </w:rPr>
        <w:t>§2 Podstawa systemu motywacyjnego</w:t>
      </w:r>
    </w:p>
    <w:p w:rsidR="00040D1A" w:rsidRDefault="00040D1A">
      <w:pPr>
        <w:tabs>
          <w:tab w:val="left" w:pos="426"/>
        </w:tabs>
        <w:spacing w:line="288" w:lineRule="auto"/>
        <w:jc w:val="center"/>
      </w:pPr>
    </w:p>
    <w:p w:rsidR="00040D1A" w:rsidRDefault="00F02798">
      <w:pPr>
        <w:numPr>
          <w:ilvl w:val="0"/>
          <w:numId w:val="4"/>
        </w:numPr>
        <w:spacing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System motywacyjny obejmuje cztery elementy:</w:t>
      </w:r>
    </w:p>
    <w:p w:rsidR="00040D1A" w:rsidRDefault="00F02798">
      <w:pPr>
        <w:numPr>
          <w:ilvl w:val="1"/>
          <w:numId w:val="4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wyróżnienia Rektora za działalność naukową/artystyczną w danym okresie,</w:t>
      </w:r>
    </w:p>
    <w:p w:rsidR="00040D1A" w:rsidRDefault="00F02798">
      <w:pPr>
        <w:numPr>
          <w:ilvl w:val="1"/>
          <w:numId w:val="4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zniżce godzin,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rą przyznaje Rektor na wniosek pracownika w wysokości wynikającej z algorytmu systemu motywacyjnego z zastrzeżeniem §2 pkt 9,</w:t>
      </w:r>
    </w:p>
    <w:p w:rsidR="00040D1A" w:rsidRDefault="00F02798">
      <w:pPr>
        <w:numPr>
          <w:ilvl w:val="1"/>
          <w:numId w:val="4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nagrodzie Rektora, o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rej formie i wysokości decyduje każdorazowo Rektor,</w:t>
      </w:r>
    </w:p>
    <w:p w:rsidR="00040D1A" w:rsidRDefault="00F02798">
      <w:pPr>
        <w:numPr>
          <w:ilvl w:val="1"/>
          <w:numId w:val="4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przyznaniu przez Dziekana dodatkowych środk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statutowych.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Elementy systemu motywacyjnego mogą być stosowane oddzielnie lub łącznie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Podstawą systemu motywacyjnego jest publikowany na bieżąco w wewnętrznej sieci Uczelni (intranet) ranking, opracowywany zgodnie z wytycznymi zawartymi w §4, §5</w:t>
      </w:r>
      <w:r>
        <w:rPr>
          <w:rFonts w:ascii="Arial" w:hAnsi="Arial"/>
          <w:sz w:val="24"/>
          <w:szCs w:val="24"/>
          <w:lang w:val="da-DK"/>
        </w:rPr>
        <w:t xml:space="preserve"> i  </w:t>
      </w:r>
      <w:r>
        <w:rPr>
          <w:rFonts w:ascii="Arial" w:hAnsi="Arial"/>
          <w:sz w:val="24"/>
          <w:szCs w:val="24"/>
        </w:rPr>
        <w:t>§6, na podstawie zestawienia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ęć naukowych i tw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rczych, zwanych dalej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 xml:space="preserve">ęciami. 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Rodzaj, charakter oraz waga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ęć określane są zgodnie z wytycznymi ankiety parametryzacyjnej danej jednostki lub r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wnoważnego dokumentu. 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kompletność i rzetelność danych będących podstawą powstania rankingu odpowiadają bezpośrednio zainteresowani pracownicy.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ramach rankingu wyłaniane są cztery kategorie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w:</w:t>
      </w:r>
    </w:p>
    <w:p w:rsidR="00040D1A" w:rsidRDefault="00F02798">
      <w:pPr>
        <w:numPr>
          <w:ilvl w:val="1"/>
          <w:numId w:val="6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grupa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przekraczających, ustaloną odrębnie dla każdego wydziału, podwyższoną liczbę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w;</w:t>
      </w:r>
    </w:p>
    <w:p w:rsidR="00040D1A" w:rsidRDefault="00F02798">
      <w:pPr>
        <w:numPr>
          <w:ilvl w:val="1"/>
          <w:numId w:val="6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grupa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przekraczających bazową (średnią), ustaloną odrębnie dla każdego wydziału, liczbę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w;</w:t>
      </w:r>
    </w:p>
    <w:p w:rsidR="00040D1A" w:rsidRDefault="00F02798">
      <w:pPr>
        <w:numPr>
          <w:ilvl w:val="1"/>
          <w:numId w:val="6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grupa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przekraczających minimalną, ustaloną odrębnie dla każdego wydziału, liczbę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w;</w:t>
      </w:r>
    </w:p>
    <w:p w:rsidR="00040D1A" w:rsidRDefault="00F02798">
      <w:pPr>
        <w:numPr>
          <w:ilvl w:val="1"/>
          <w:numId w:val="6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grupa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niewnosząca w danym roku minimalnej, ustalonej odrębnie dla każdego wydziału, liczby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w. Pracownicy,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rzy znajdą się w tej grupie, są zobowiązani do złożenia na piśmie przed Rektorem wyjaśnienia powod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zaistniałej sytuacji, nie później niż  w terminie określonym  §</w:t>
      </w:r>
      <w:r>
        <w:rPr>
          <w:rFonts w:ascii="Arial" w:hAnsi="Arial"/>
          <w:sz w:val="24"/>
          <w:szCs w:val="24"/>
          <w:lang w:val="de-DE"/>
        </w:rPr>
        <w:t>4 pkt 1</w:t>
      </w:r>
      <w:r>
        <w:rPr>
          <w:rFonts w:ascii="Arial" w:hAnsi="Arial"/>
          <w:sz w:val="24"/>
          <w:szCs w:val="24"/>
        </w:rPr>
        <w:t>.</w:t>
      </w:r>
    </w:p>
    <w:p w:rsidR="00040D1A" w:rsidRDefault="00F02798">
      <w:pPr>
        <w:numPr>
          <w:ilvl w:val="0"/>
          <w:numId w:val="7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Wartości prog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punktowych: minimalnego, bazowego oraz podwyższonego, niezależnie dla każdego Wydziału, określa Rektor w porozumieniu z Dziekanem, każdorazowo przed rozpoczęciem okresu rozliczeniowego.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Pracownicy zakwalifikowani do kategorii</w:t>
      </w:r>
      <w:r>
        <w:rPr>
          <w:rFonts w:ascii="Arial" w:hAnsi="Arial"/>
          <w:sz w:val="24"/>
          <w:szCs w:val="24"/>
          <w:lang w:val="da-DK"/>
        </w:rPr>
        <w:t xml:space="preserve"> C i D</w:t>
      </w:r>
      <w:r>
        <w:rPr>
          <w:rFonts w:ascii="Arial" w:hAnsi="Arial"/>
          <w:sz w:val="24"/>
          <w:szCs w:val="24"/>
        </w:rPr>
        <w:t>, wymienieni w §2 pkt 6c,6d są zobowiązani do przyjęcia dodatkowych obowiązków, których charakter i wymiar są zgodne z aktami prawnymi wyższego rzędu (Ustawa, Statut itp.) umożliwiających pełną realizację przewidzianego dla danego stanowiska przydziału zakresu obowiązków. Natomiast pracownicy zakwalifikowani do kategorii A, po spełnieniu wymog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ujętych w §3</w:t>
      </w:r>
      <w:r>
        <w:rPr>
          <w:rFonts w:ascii="Arial" w:hAnsi="Arial"/>
          <w:sz w:val="24"/>
          <w:szCs w:val="24"/>
          <w:lang w:val="nl-NL"/>
        </w:rPr>
        <w:t xml:space="preserve"> pkt 2 mog</w:t>
      </w:r>
      <w:r>
        <w:rPr>
          <w:rFonts w:ascii="Arial" w:hAnsi="Arial"/>
          <w:sz w:val="24"/>
          <w:szCs w:val="24"/>
        </w:rPr>
        <w:t xml:space="preserve">ą otrzymać zniżkę godzin, jednak nie większą niż </w:t>
      </w:r>
      <w:r>
        <w:rPr>
          <w:rFonts w:ascii="Arial" w:hAnsi="Arial"/>
          <w:sz w:val="24"/>
          <w:szCs w:val="24"/>
          <w:lang w:val="fr-FR"/>
        </w:rPr>
        <w:t>50% pensum.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Funkcjonowanie systemu motywacyjnego nie może generować godzin ponadwymiarowych w poszczeg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lnych jednostkach. W przypadku wystąpienia takiej sytuacji, zniżki godzin są proporcjonalnie zmniejszane do poziomu zapewniającego brak godzin ponadwymiarowych.</w:t>
      </w:r>
    </w:p>
    <w:p w:rsidR="00040D1A" w:rsidRDefault="00040D1A">
      <w:pPr>
        <w:spacing w:line="288" w:lineRule="auto"/>
      </w:pPr>
    </w:p>
    <w:p w:rsidR="00040D1A" w:rsidRDefault="00040D1A">
      <w:pPr>
        <w:spacing w:line="288" w:lineRule="auto"/>
      </w:pPr>
    </w:p>
    <w:p w:rsidR="00040D1A" w:rsidRDefault="00F02798">
      <w:pPr>
        <w:spacing w:line="288" w:lineRule="auto"/>
        <w:jc w:val="center"/>
      </w:pPr>
      <w:r>
        <w:rPr>
          <w:rFonts w:ascii="Arial" w:hAnsi="Arial"/>
          <w:b/>
          <w:bCs/>
          <w:sz w:val="24"/>
          <w:szCs w:val="24"/>
        </w:rPr>
        <w:t>§3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Profity</w:t>
      </w:r>
    </w:p>
    <w:p w:rsidR="00040D1A" w:rsidRDefault="00040D1A">
      <w:pPr>
        <w:spacing w:line="288" w:lineRule="auto"/>
      </w:pPr>
    </w:p>
    <w:p w:rsidR="00040D1A" w:rsidRDefault="00F02798">
      <w:pPr>
        <w:numPr>
          <w:ilvl w:val="0"/>
          <w:numId w:val="8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Wyróżnienie Rektora za działalność naukową/artystyczną otrzymuje każdorazowo trzech najlepszych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wyłonionych w rankingu sporządzonym dla  danego wydziału w ramach jednej z grup pracowników, o których mowa w &amp;5 pkt 2.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Zniżka pensum dydaktycznego przysługuje pracownikom,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rzy w corocznym Rankingu prowadzonym zgodnie z zapisami w §4, §5</w:t>
      </w:r>
      <w:r>
        <w:rPr>
          <w:rFonts w:ascii="Arial" w:hAnsi="Arial"/>
          <w:sz w:val="24"/>
          <w:szCs w:val="24"/>
          <w:lang w:val="da-DK"/>
        </w:rPr>
        <w:t xml:space="preserve"> i </w:t>
      </w:r>
      <w:r>
        <w:rPr>
          <w:rFonts w:ascii="Arial" w:hAnsi="Arial"/>
          <w:sz w:val="24"/>
          <w:szCs w:val="24"/>
        </w:rPr>
        <w:t>§6 zakwalifikują się do grupy stanowiącej 10%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(proporcjonalnie do liczby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w grupach określonych w §5 pkt 2) o najwyższej punktacji na danym wydziale i jednocześnie przekroczą podwyższony pr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g punktowy określony odrębnie dla każdego wydziału.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zniżka pensum dydaktycznego przysługuje na okres jednego roku akademickiego,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szczeg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lnych przypadkach pracownik w danym roku może uzyskać zniżkę godzin dydaktycznych w wysokości określonej przez Rektora, na poczet </w:t>
      </w:r>
      <w:r>
        <w:rPr>
          <w:rFonts w:ascii="Arial" w:hAnsi="Arial"/>
          <w:sz w:val="24"/>
          <w:szCs w:val="24"/>
        </w:rPr>
        <w:lastRenderedPageBreak/>
        <w:t>wykonywanej, konkretnie określonej (r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wnież punktowo) pracy naukowej/artystycznej, pod warunkiem że uzyskane w ten spos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b punkty pozwolą pracownikowi na spełnienie wymogów opisanych w §3 pkt 2, 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otrzymanie zniżki godzin wymaga każdorazowo złożenie przez uprawnionego pracownika pisemnego wniosku do Rektora,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otrzymanie zniżki godzin wyklucza możliwość rozliczenia przez pracownika ponadwymiarowych godzin dydaktycznych.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Nagroda Rektora za działalność naukową może być przyznana jedynie pracownikowi  znajdującemu się w grupie 10% najlepszych pracowników (proporcjonalnie do liczby pracowników w grupach określonych w §5 pkt 2) w rankingu sporządzonym dla danego wydziału i dla danej grupy pracowników, w wysokości i według uznania Rektora.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Dodatkowe środki statutowe Dziekan może przyznać jedynie pracownikowi znajdującemu się w grupie 10% najlepszych pracowników (proporcjonalnie do liczby pracowników w grupach określonych w §5 pkt 2) w rankingu sporządzonym dla danego wydziału i dla danej grupy pracowników, w wysokości i według uznania Dziekana.</w:t>
      </w: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</w:pPr>
    </w:p>
    <w:p w:rsidR="00040D1A" w:rsidRDefault="00F02798">
      <w:pPr>
        <w:spacing w:line="288" w:lineRule="auto"/>
        <w:jc w:val="center"/>
      </w:pPr>
      <w:r>
        <w:rPr>
          <w:rFonts w:ascii="Arial" w:hAnsi="Arial"/>
          <w:b/>
          <w:bCs/>
          <w:sz w:val="24"/>
          <w:szCs w:val="24"/>
        </w:rPr>
        <w:t>§4 Okresy rozliczeniowe</w:t>
      </w:r>
    </w:p>
    <w:p w:rsidR="00040D1A" w:rsidRDefault="00040D1A">
      <w:pPr>
        <w:spacing w:line="288" w:lineRule="auto"/>
      </w:pPr>
    </w:p>
    <w:p w:rsidR="00040D1A" w:rsidRDefault="00F02798">
      <w:pPr>
        <w:numPr>
          <w:ilvl w:val="0"/>
          <w:numId w:val="9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Rozliczenie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ęć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wchodzących do rankingu odbywa się zgodnie z  wytycznymi zawartymi w §5 i następuje każdorazowo do 31 maja.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Ranking tworzony jest za dwa pełne, poprzedzające go lata kalendarzowe.</w:t>
      </w:r>
    </w:p>
    <w:p w:rsidR="00040D1A" w:rsidRDefault="00040D1A">
      <w:pPr>
        <w:spacing w:line="288" w:lineRule="auto"/>
      </w:pPr>
    </w:p>
    <w:p w:rsidR="00040D1A" w:rsidRDefault="00040D1A">
      <w:pPr>
        <w:spacing w:line="288" w:lineRule="auto"/>
      </w:pPr>
    </w:p>
    <w:p w:rsidR="00040D1A" w:rsidRDefault="00F02798">
      <w:pPr>
        <w:spacing w:line="288" w:lineRule="auto"/>
        <w:jc w:val="center"/>
      </w:pPr>
      <w:r>
        <w:rPr>
          <w:rFonts w:ascii="Arial" w:hAnsi="Arial"/>
          <w:b/>
          <w:bCs/>
          <w:sz w:val="24"/>
          <w:szCs w:val="24"/>
        </w:rPr>
        <w:t>§5 System kwalifikacji systemu motywacyjnego</w:t>
      </w:r>
    </w:p>
    <w:p w:rsidR="00040D1A" w:rsidRDefault="00040D1A">
      <w:pPr>
        <w:spacing w:line="288" w:lineRule="auto"/>
      </w:pPr>
    </w:p>
    <w:p w:rsidR="00040D1A" w:rsidRDefault="00F02798">
      <w:pPr>
        <w:numPr>
          <w:ilvl w:val="0"/>
          <w:numId w:val="10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Ranking tworzony jest wyłącznie na podstawie dorobku afiliowanego w Uniwersytecie Pedagogicznym.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Ranking tworzony jest w dw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ch grupach pracownik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w: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samodzielni pracownicy naukowi (doktorzy habilitowani, profesorowie tytularni),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niesamodzielni pracownicy naukowi, posiadający stopień naukowy doktora lub tytuł zawodowy. 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rankingu wliczana jest jedynie działalność pracownika będąca przedmiotem oceny parametrycznej jednostek, wykazana w centralnej bazie danych w terminie określonym w §4 pkt 1.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rankingu zaliczane są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ęcia,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rych faktyczna data realizacji obejmuje oceniany okres (data uzyskania stopnia lub tytułu naukowego, a nie rozpoczęcia procedury; data publikacji znajdują</w:t>
      </w:r>
      <w:r>
        <w:rPr>
          <w:rFonts w:ascii="Arial" w:hAnsi="Arial"/>
          <w:sz w:val="24"/>
          <w:szCs w:val="24"/>
          <w:lang w:val="it-IT"/>
        </w:rPr>
        <w:t>ca si</w:t>
      </w:r>
      <w:r>
        <w:rPr>
          <w:rFonts w:ascii="Arial" w:hAnsi="Arial"/>
          <w:sz w:val="24"/>
          <w:szCs w:val="24"/>
        </w:rPr>
        <w:t>ę w materiale opublikowanym, a nie data zamieszczenia np. online itp.).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Ranking tworzony będzie zgodnie z punktacją obowiązującą przy parametryzacji jednostki w trzech podgrupach z odpowiednio dobranymi współczynnikami wagowymi, o 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rych wysokości decyduje Rektor: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osią</w:t>
      </w:r>
      <w:r>
        <w:rPr>
          <w:rFonts w:ascii="Arial" w:hAnsi="Arial"/>
          <w:sz w:val="24"/>
          <w:szCs w:val="24"/>
          <w:lang w:val="it-IT"/>
        </w:rPr>
        <w:t>gnięcia</w:t>
      </w:r>
      <w:r>
        <w:rPr>
          <w:rFonts w:ascii="Arial" w:hAnsi="Arial"/>
          <w:sz w:val="24"/>
          <w:szCs w:val="24"/>
        </w:rPr>
        <w:t xml:space="preserve"> pracownika na poziomie zapewniającym ujęcie ich w ostatniej ocenie parametrycznej Jednostki, odniesione do najniższej liczby punktów gwarantującej uzyskanie kategorii A w danej dziedzinie,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osią</w:t>
      </w:r>
      <w:r>
        <w:rPr>
          <w:rFonts w:ascii="Arial" w:hAnsi="Arial"/>
          <w:sz w:val="24"/>
          <w:szCs w:val="24"/>
          <w:lang w:val="it-IT"/>
        </w:rPr>
        <w:t>gnięcia</w:t>
      </w:r>
      <w:r>
        <w:rPr>
          <w:rFonts w:ascii="Arial" w:hAnsi="Arial"/>
          <w:sz w:val="24"/>
          <w:szCs w:val="24"/>
        </w:rPr>
        <w:t xml:space="preserve"> pracownika na poziomie niezapewniającym ujęcia ich w ostatniej ocenie parametrycznej jednostki, ale indeksowane w bazie Web of Science lub jej odpowiedniku dla danej dziedziny (np. lista C).</w:t>
      </w:r>
    </w:p>
    <w:p w:rsidR="00040D1A" w:rsidRDefault="00F02798">
      <w:pPr>
        <w:numPr>
          <w:ilvl w:val="1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kierowanie projektem badawczym (grantem) ze stałą liczbą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w każdym okresie rozliczeniowym, w wysokości odpowiadającej najwyżej punktowanej publikacji na liście ministerialnej, według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rej rozlicza się Wydział, oraz dodatkowym 10 punktom za każde 100 000 PLN przyznanej kwoty powyżej średniej z uzyskanych na Wydziale grant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zaliczonych do poprzedniej parametryzacji. Kierownik może rozdzielić punkty pomiędzy wykonawc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grantu. Wyjątek stanowią granty aparaturowe,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 są rozliczne jedynie w ramach punktu 5a.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  <w:lang w:val="it-IT"/>
        </w:rPr>
        <w:t>sia</w:t>
      </w:r>
      <w:r>
        <w:rPr>
          <w:rFonts w:ascii="Arial" w:hAnsi="Arial"/>
          <w:sz w:val="24"/>
          <w:szCs w:val="24"/>
        </w:rPr>
        <w:t>̨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ęcia wieloosobowe (np. publikacje wieloautorskie) są rozliczane zgodnie z zasadami obowiązującymi przy parametryzacji Jednostki. Punkty przydzielane są poszczeg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lnym pracownikom zgodnie ze złożonymi deklaracjami udziału.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rankingu nie są zaliczane granty, 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rych termin realizacji został przedłużony w stosunku do ustalonego w umowie, a finansowanie w dodatkowym okresie jest mniejsze niż średnia finansowania przewidziana na poprzednie lata realizacji grantu.</w:t>
      </w:r>
    </w:p>
    <w:p w:rsidR="00040D1A" w:rsidRDefault="00F02798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przekazywania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wykonawcom grantu mogą one zostać zaliczone jedynie pracownikom osiągającym bazową liczbę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w bieżącym okresie rozliczeniowym.</w:t>
      </w:r>
    </w:p>
    <w:p w:rsidR="00040D1A" w:rsidRDefault="00040D1A">
      <w:pPr>
        <w:spacing w:line="288" w:lineRule="auto"/>
      </w:pPr>
    </w:p>
    <w:p w:rsidR="00040D1A" w:rsidRDefault="00040D1A">
      <w:pPr>
        <w:spacing w:line="288" w:lineRule="auto"/>
      </w:pPr>
    </w:p>
    <w:p w:rsidR="00040D1A" w:rsidRDefault="00F02798">
      <w:pPr>
        <w:spacing w:line="288" w:lineRule="auto"/>
        <w:jc w:val="center"/>
      </w:pPr>
      <w:r>
        <w:rPr>
          <w:rFonts w:ascii="Arial" w:hAnsi="Arial"/>
          <w:b/>
          <w:bCs/>
          <w:sz w:val="24"/>
          <w:szCs w:val="24"/>
        </w:rPr>
        <w:t>§6 Algorytm tworzenia rankingu</w:t>
      </w:r>
    </w:p>
    <w:p w:rsidR="00040D1A" w:rsidRDefault="00040D1A">
      <w:pPr>
        <w:spacing w:line="288" w:lineRule="auto"/>
        <w:jc w:val="center"/>
      </w:pPr>
    </w:p>
    <w:p w:rsidR="00040D1A" w:rsidRDefault="00F02798">
      <w:pPr>
        <w:numPr>
          <w:ilvl w:val="0"/>
          <w:numId w:val="11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Wartość liczby rankingowej obliczana jest zgodnie ze wzorem: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844550</wp:posOffset>
            </wp:positionH>
            <wp:positionV relativeFrom="line">
              <wp:posOffset>361314</wp:posOffset>
            </wp:positionV>
            <wp:extent cx="5588000" cy="8464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15"/>
                <wp:lineTo x="0" y="2171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46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 xml:space="preserve"> </w:t>
      </w:r>
    </w:p>
    <w:p w:rsidR="00040D1A" w:rsidRDefault="00040D1A">
      <w:pPr>
        <w:spacing w:line="288" w:lineRule="auto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040D1A">
      <w:pPr>
        <w:spacing w:line="288" w:lineRule="auto"/>
        <w:jc w:val="both"/>
      </w:pPr>
    </w:p>
    <w:p w:rsidR="00040D1A" w:rsidRDefault="00F02798">
      <w:pPr>
        <w:spacing w:line="288" w:lineRule="auto"/>
        <w:jc w:val="both"/>
      </w:pPr>
      <w:r>
        <w:rPr>
          <w:rFonts w:ascii="Arial" w:hAnsi="Arial"/>
          <w:sz w:val="24"/>
          <w:szCs w:val="24"/>
        </w:rPr>
        <w:t>gdzie: L</w:t>
      </w:r>
      <w:r>
        <w:rPr>
          <w:rFonts w:ascii="Arial" w:hAnsi="Arial"/>
          <w:sz w:val="24"/>
          <w:szCs w:val="24"/>
          <w:vertAlign w:val="subscript"/>
        </w:rPr>
        <w:t>R</w:t>
      </w:r>
      <w:r>
        <w:rPr>
          <w:rFonts w:ascii="Arial" w:hAnsi="Arial"/>
          <w:sz w:val="24"/>
          <w:szCs w:val="24"/>
        </w:rPr>
        <w:t xml:space="preserve"> - liczba uzyskanych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w, P</w:t>
      </w:r>
      <w:r>
        <w:rPr>
          <w:rFonts w:ascii="Arial" w:hAnsi="Arial"/>
          <w:sz w:val="24"/>
          <w:szCs w:val="24"/>
          <w:vertAlign w:val="subscript"/>
        </w:rPr>
        <w:t>i</w:t>
      </w:r>
      <w:r>
        <w:rPr>
          <w:rFonts w:ascii="Arial" w:hAnsi="Arial"/>
          <w:sz w:val="24"/>
          <w:szCs w:val="24"/>
        </w:rPr>
        <w:t xml:space="preserve"> - punkty za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ęcia określone w §</w:t>
      </w:r>
      <w:r>
        <w:rPr>
          <w:rFonts w:ascii="Arial" w:hAnsi="Arial"/>
          <w:sz w:val="24"/>
          <w:szCs w:val="24"/>
          <w:lang w:val="de-DE"/>
        </w:rPr>
        <w:t>5 pkt 5a, D</w:t>
      </w:r>
      <w:r>
        <w:rPr>
          <w:rFonts w:ascii="Arial" w:hAnsi="Arial"/>
          <w:sz w:val="24"/>
          <w:szCs w:val="24"/>
          <w:vertAlign w:val="subscript"/>
        </w:rPr>
        <w:t>i</w:t>
      </w:r>
      <w:r>
        <w:rPr>
          <w:rFonts w:ascii="Arial" w:hAnsi="Arial"/>
          <w:sz w:val="24"/>
          <w:szCs w:val="24"/>
        </w:rPr>
        <w:t xml:space="preserve"> - punkty za osią</w:t>
      </w:r>
      <w:r>
        <w:rPr>
          <w:rFonts w:ascii="Arial" w:hAnsi="Arial"/>
          <w:sz w:val="24"/>
          <w:szCs w:val="24"/>
          <w:lang w:val="it-IT"/>
        </w:rPr>
        <w:t>gni</w:t>
      </w:r>
      <w:r>
        <w:rPr>
          <w:rFonts w:ascii="Arial" w:hAnsi="Arial"/>
          <w:sz w:val="24"/>
          <w:szCs w:val="24"/>
        </w:rPr>
        <w:t>ęcia określone w §</w:t>
      </w:r>
      <w:r>
        <w:rPr>
          <w:rFonts w:ascii="Arial" w:hAnsi="Arial"/>
          <w:sz w:val="24"/>
          <w:szCs w:val="24"/>
          <w:lang w:val="de-DE"/>
        </w:rPr>
        <w:t>5 pkt 5b, G</w:t>
      </w:r>
      <w:r>
        <w:rPr>
          <w:rFonts w:ascii="Arial" w:hAnsi="Arial"/>
          <w:sz w:val="24"/>
          <w:szCs w:val="24"/>
          <w:vertAlign w:val="subscript"/>
        </w:rPr>
        <w:t>k</w:t>
      </w:r>
      <w:r>
        <w:rPr>
          <w:rFonts w:ascii="Arial" w:hAnsi="Arial"/>
          <w:sz w:val="24"/>
          <w:szCs w:val="24"/>
        </w:rPr>
        <w:t xml:space="preserve"> - liczba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 kierowanie grantem. W</w:t>
      </w:r>
      <w:r>
        <w:rPr>
          <w:rFonts w:ascii="Arial" w:hAnsi="Arial"/>
          <w:sz w:val="24"/>
          <w:szCs w:val="24"/>
          <w:vertAlign w:val="subscript"/>
        </w:rPr>
        <w:t>1</w:t>
      </w:r>
      <w:r>
        <w:rPr>
          <w:rFonts w:ascii="Arial" w:hAnsi="Arial"/>
          <w:sz w:val="24"/>
          <w:szCs w:val="24"/>
        </w:rPr>
        <w:t xml:space="preserve"> i W</w:t>
      </w:r>
      <w:r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 xml:space="preserve"> - współczynniki wagowe.</w:t>
      </w:r>
    </w:p>
    <w:p w:rsidR="00040D1A" w:rsidRDefault="00040D1A">
      <w:pPr>
        <w:spacing w:line="288" w:lineRule="auto"/>
        <w:jc w:val="both"/>
      </w:pPr>
    </w:p>
    <w:p w:rsidR="00040D1A" w:rsidRDefault="00F02798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Wysokość maksymalnej zniżki godzin dydaktycznych przypadających na uprawnionego pracownika jest r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wna L</w:t>
      </w:r>
      <w:r>
        <w:rPr>
          <w:rFonts w:ascii="Arial" w:hAnsi="Arial"/>
          <w:sz w:val="24"/>
          <w:szCs w:val="24"/>
          <w:vertAlign w:val="subscript"/>
        </w:rPr>
        <w:t>R</w:t>
      </w:r>
      <w:r>
        <w:rPr>
          <w:rFonts w:ascii="Arial" w:hAnsi="Arial"/>
          <w:sz w:val="24"/>
          <w:szCs w:val="24"/>
        </w:rPr>
        <w:t xml:space="preserve"> - M, gdzie M to minimalna wartość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rankingowych, jakie w ciągu roku musi uzyskać pracownik.</w:t>
      </w:r>
    </w:p>
    <w:sectPr w:rsidR="00040D1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46" w:rsidRDefault="00877E46">
      <w:r>
        <w:separator/>
      </w:r>
    </w:p>
  </w:endnote>
  <w:endnote w:type="continuationSeparator" w:id="0">
    <w:p w:rsidR="00877E46" w:rsidRDefault="0087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1A" w:rsidRDefault="00F0279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B05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46" w:rsidRDefault="00877E46">
      <w:r>
        <w:separator/>
      </w:r>
    </w:p>
  </w:footnote>
  <w:footnote w:type="continuationSeparator" w:id="0">
    <w:p w:rsidR="00877E46" w:rsidRDefault="0087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1A" w:rsidRDefault="00040D1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8AA"/>
    <w:multiLevelType w:val="hybridMultilevel"/>
    <w:tmpl w:val="D5B05DA6"/>
    <w:styleLink w:val="ImportedStyle3"/>
    <w:lvl w:ilvl="0" w:tplc="3B72EFD2">
      <w:start w:val="1"/>
      <w:numFmt w:val="decimal"/>
      <w:lvlText w:val="%1."/>
      <w:lvlJc w:val="left"/>
      <w:pPr>
        <w:tabs>
          <w:tab w:val="num" w:pos="472"/>
        </w:tabs>
        <w:ind w:left="50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007E2">
      <w:start w:val="1"/>
      <w:numFmt w:val="lowerLetter"/>
      <w:lvlText w:val="%2."/>
      <w:lvlJc w:val="left"/>
      <w:pPr>
        <w:tabs>
          <w:tab w:val="num" w:pos="72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09804">
      <w:start w:val="1"/>
      <w:numFmt w:val="decimal"/>
      <w:lvlText w:val="%3."/>
      <w:lvlJc w:val="left"/>
      <w:pPr>
        <w:tabs>
          <w:tab w:val="num" w:pos="1113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8BDC2">
      <w:start w:val="1"/>
      <w:numFmt w:val="decimal"/>
      <w:lvlText w:val="%4."/>
      <w:lvlJc w:val="left"/>
      <w:pPr>
        <w:tabs>
          <w:tab w:val="num" w:pos="14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AA06E">
      <w:start w:val="1"/>
      <w:numFmt w:val="decimal"/>
      <w:lvlText w:val="%5."/>
      <w:lvlJc w:val="left"/>
      <w:pPr>
        <w:tabs>
          <w:tab w:val="num" w:pos="1833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EDE1C">
      <w:start w:val="1"/>
      <w:numFmt w:val="decimal"/>
      <w:lvlText w:val="%6."/>
      <w:lvlJc w:val="left"/>
      <w:pPr>
        <w:tabs>
          <w:tab w:val="num" w:pos="21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EB372">
      <w:start w:val="1"/>
      <w:numFmt w:val="decimal"/>
      <w:lvlText w:val="%7."/>
      <w:lvlJc w:val="left"/>
      <w:pPr>
        <w:tabs>
          <w:tab w:val="num" w:pos="2553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84B52">
      <w:start w:val="1"/>
      <w:numFmt w:val="decimal"/>
      <w:lvlText w:val="%8."/>
      <w:lvlJc w:val="left"/>
      <w:pPr>
        <w:tabs>
          <w:tab w:val="num" w:pos="28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AC582">
      <w:start w:val="1"/>
      <w:numFmt w:val="decimal"/>
      <w:lvlText w:val="%9."/>
      <w:lvlJc w:val="left"/>
      <w:pPr>
        <w:tabs>
          <w:tab w:val="num" w:pos="3273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CF5F9F"/>
    <w:multiLevelType w:val="hybridMultilevel"/>
    <w:tmpl w:val="2120163A"/>
    <w:styleLink w:val="ImportedStyle1"/>
    <w:lvl w:ilvl="0" w:tplc="2278CA3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A18B8">
      <w:start w:val="1"/>
      <w:numFmt w:val="lowerLetter"/>
      <w:lvlText w:val="%2."/>
      <w:lvlJc w:val="left"/>
      <w:pPr>
        <w:tabs>
          <w:tab w:val="num" w:pos="72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82A78">
      <w:start w:val="1"/>
      <w:numFmt w:val="decimal"/>
      <w:lvlText w:val="%3."/>
      <w:lvlJc w:val="left"/>
      <w:pPr>
        <w:tabs>
          <w:tab w:val="num" w:pos="1113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A3102">
      <w:start w:val="1"/>
      <w:numFmt w:val="decimal"/>
      <w:lvlText w:val="%4."/>
      <w:lvlJc w:val="left"/>
      <w:pPr>
        <w:tabs>
          <w:tab w:val="num" w:pos="14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E1A82">
      <w:start w:val="1"/>
      <w:numFmt w:val="decimal"/>
      <w:lvlText w:val="%5."/>
      <w:lvlJc w:val="left"/>
      <w:pPr>
        <w:tabs>
          <w:tab w:val="num" w:pos="1833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44044">
      <w:start w:val="1"/>
      <w:numFmt w:val="decimal"/>
      <w:lvlText w:val="%6."/>
      <w:lvlJc w:val="left"/>
      <w:pPr>
        <w:tabs>
          <w:tab w:val="num" w:pos="21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0E780">
      <w:start w:val="1"/>
      <w:numFmt w:val="decimal"/>
      <w:lvlText w:val="%7."/>
      <w:lvlJc w:val="left"/>
      <w:pPr>
        <w:tabs>
          <w:tab w:val="num" w:pos="2553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49CA">
      <w:start w:val="1"/>
      <w:numFmt w:val="decimal"/>
      <w:lvlText w:val="%8."/>
      <w:lvlJc w:val="left"/>
      <w:pPr>
        <w:tabs>
          <w:tab w:val="num" w:pos="28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08154">
      <w:start w:val="1"/>
      <w:numFmt w:val="decimal"/>
      <w:lvlText w:val="%9."/>
      <w:lvlJc w:val="left"/>
      <w:pPr>
        <w:tabs>
          <w:tab w:val="num" w:pos="3273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9000B29"/>
    <w:multiLevelType w:val="hybridMultilevel"/>
    <w:tmpl w:val="2120163A"/>
    <w:numStyleLink w:val="ImportedStyle1"/>
  </w:abstractNum>
  <w:abstractNum w:abstractNumId="3">
    <w:nsid w:val="71255917"/>
    <w:multiLevelType w:val="hybridMultilevel"/>
    <w:tmpl w:val="D5B05DA6"/>
    <w:numStyleLink w:val="ImportedStyle3"/>
  </w:abstractNum>
  <w:num w:numId="1">
    <w:abstractNumId w:val="1"/>
  </w:num>
  <w:num w:numId="2">
    <w:abstractNumId w:val="2"/>
  </w:num>
  <w:num w:numId="3">
    <w:abstractNumId w:val="2"/>
    <w:lvlOverride w:ilvl="0">
      <w:lvl w:ilvl="0" w:tplc="1D40A43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3245D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921EFA">
        <w:start w:val="1"/>
        <w:numFmt w:val="decimal"/>
        <w:lvlText w:val="%3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02DF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8EE568">
        <w:start w:val="1"/>
        <w:numFmt w:val="decimal"/>
        <w:lvlText w:val="%5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B2DD5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825A9C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0B44C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4CB8EC">
        <w:start w:val="1"/>
        <w:numFmt w:val="decimal"/>
        <w:lvlText w:val="%9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1D40A43E">
        <w:start w:val="1"/>
        <w:numFmt w:val="decimal"/>
        <w:lvlText w:val="%1."/>
        <w:lvlJc w:val="left"/>
        <w:pPr>
          <w:tabs>
            <w:tab w:val="left" w:pos="567"/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3245D8">
        <w:start w:val="1"/>
        <w:numFmt w:val="lowerLetter"/>
        <w:lvlText w:val="%2."/>
        <w:lvlJc w:val="left"/>
        <w:pPr>
          <w:tabs>
            <w:tab w:val="num" w:pos="72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921EFA">
        <w:start w:val="1"/>
        <w:numFmt w:val="decimal"/>
        <w:lvlText w:val="%3."/>
        <w:lvlJc w:val="left"/>
        <w:pPr>
          <w:tabs>
            <w:tab w:val="num" w:pos="1113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702DF6">
        <w:start w:val="1"/>
        <w:numFmt w:val="decimal"/>
        <w:lvlText w:val="%4."/>
        <w:lvlJc w:val="left"/>
        <w:pPr>
          <w:tabs>
            <w:tab w:val="num" w:pos="144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8EE568">
        <w:start w:val="1"/>
        <w:numFmt w:val="decimal"/>
        <w:lvlText w:val="%5."/>
        <w:lvlJc w:val="left"/>
        <w:pPr>
          <w:tabs>
            <w:tab w:val="num" w:pos="1833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B2DD50">
        <w:start w:val="1"/>
        <w:numFmt w:val="decimal"/>
        <w:lvlText w:val="%6."/>
        <w:lvlJc w:val="left"/>
        <w:pPr>
          <w:tabs>
            <w:tab w:val="num" w:pos="216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825A9C">
        <w:start w:val="1"/>
        <w:numFmt w:val="decimal"/>
        <w:lvlText w:val="%7."/>
        <w:lvlJc w:val="left"/>
        <w:pPr>
          <w:tabs>
            <w:tab w:val="num" w:pos="2553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10B44C">
        <w:start w:val="1"/>
        <w:numFmt w:val="decimal"/>
        <w:lvlText w:val="%8."/>
        <w:lvlJc w:val="left"/>
        <w:pPr>
          <w:tabs>
            <w:tab w:val="num" w:pos="288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4CB8EC">
        <w:start w:val="1"/>
        <w:numFmt w:val="decimal"/>
        <w:lvlText w:val="%9."/>
        <w:lvlJc w:val="left"/>
        <w:pPr>
          <w:tabs>
            <w:tab w:val="num" w:pos="3273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D1A"/>
    <w:rsid w:val="00040D1A"/>
    <w:rsid w:val="003B05A8"/>
    <w:rsid w:val="006022B3"/>
    <w:rsid w:val="00877E46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Tomasik</dc:creator>
  <cp:lastModifiedBy>Aleksandra  CIEJKA</cp:lastModifiedBy>
  <cp:revision>2</cp:revision>
  <cp:lastPrinted>2018-01-31T10:55:00Z</cp:lastPrinted>
  <dcterms:created xsi:type="dcterms:W3CDTF">2018-02-02T09:43:00Z</dcterms:created>
  <dcterms:modified xsi:type="dcterms:W3CDTF">2018-02-02T09:43:00Z</dcterms:modified>
</cp:coreProperties>
</file>